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</w:t>
      </w:r>
      <w:r>
        <w:rPr>
          <w:rFonts w:ascii="Times New Roman" w:hAnsi="Times New Roman"/>
          <w:sz w:val="28"/>
          <w:szCs w:val="28"/>
        </w:rPr>
        <w:t>ПОСТАНОВЛЕНИЯ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sz w:val="28"/>
          <w:szCs w:val="28"/>
        </w:rPr>
        <w:t xml:space="preserve">реестра муниципальных услуг </w:t>
      </w:r>
    </w:p>
    <w:p>
      <w:pPr>
        <w:pStyle w:val="11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администрации муниципального образования Кореновский район»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 xml:space="preserve">реестр муниципальных услуг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27 октября 2021 года        № 1353 «</w:t>
      </w:r>
      <w:r>
        <w:rPr>
          <w:rFonts w:cs="Times New Roman"/>
          <w:bCs/>
          <w:color w:val="auto"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7.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17" w:top="1134" w:footer="215" w:bottom="1134" w:gutter="0"/>
          <w:pgNumType w:fmt="decimal"/>
          <w:formProt w:val="false"/>
          <w:textDirection w:val="lrTb"/>
          <w:docGrid w:type="default" w:linePitch="360" w:charSpace="18022"/>
        </w:sectPr>
        <w:pStyle w:val="13"/>
        <w:spacing w:before="0" w:after="0"/>
        <w:rPr/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</w:t>
      </w:r>
      <w:bookmarkStart w:id="0" w:name="_GoBack"/>
      <w:bookmarkEnd w:id="0"/>
      <w:r>
        <w:rPr>
          <w:rFonts w:cs="Times New Roman"/>
          <w:color w:val="auto"/>
          <w:sz w:val="28"/>
          <w:szCs w:val="28"/>
        </w:rPr>
        <w:t>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/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от                                           №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муниципальных услуг </w:t>
      </w:r>
      <w:r>
        <w:rPr>
          <w:rFonts w:cs="Times New Roman"/>
          <w:b/>
          <w:color w:val="auto"/>
          <w:sz w:val="28"/>
          <w:szCs w:val="28"/>
        </w:rPr>
        <w:t>администрации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39"/>
        <w:gridCol w:w="3107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21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2"/>
                <w:szCs w:val="22"/>
              </w:rPr>
              <w:t>государственной</w:t>
            </w:r>
            <w:r>
              <w:rPr>
                <w:rStyle w:val="FontStyle21"/>
              </w:rPr>
              <w:t xml:space="preserve"> или муниципальной собственности, на торгах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Зачисление в общеобразовательную организацию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cs="Times New Roman"/>
                <w:sz w:val="28"/>
                <w:szCs w:val="28"/>
              </w:rPr>
              <w:t>услугах, оказываемых муниципальными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учреждениями и другими организациями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, которые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eastAsia="DejaVu Sans"/>
                <w:b w:val="false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Style w:val="Strong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городского и сельских поселений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материалов, содержащихся в проектной документации: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10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footerReference w:type="default" r:id="rId5"/>
      <w:type w:val="nextPage"/>
      <w:pgSz w:w="11906" w:h="16838"/>
      <w:pgMar w:left="1701" w:right="567" w:header="709" w:top="1134" w:footer="363" w:bottom="567" w:gutter="0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1"/>
    <w:qFormat/>
    <w:pPr/>
    <w:rPr/>
  </w:style>
  <w:style w:type="paragraph" w:styleId="Style31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8F24-1B95-4521-9AC7-8B0EFA67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Application>LibreOffice/7.1.1.2$Windows_X86_64 LibreOffice_project/fe0b08f4af1bacafe4c7ecc87ce55bb426164676</Application>
  <AppVersion>15.0000</AppVersion>
  <DocSecurity>0</DocSecurity>
  <Pages>16</Pages>
  <Words>3900</Words>
  <Characters>31853</Characters>
  <CharactersWithSpaces>36109</CharactersWithSpaces>
  <Paragraphs>476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2022-05-23T06:39:00Z</cp:lastPrinted>
  <dcterms:modified xsi:type="dcterms:W3CDTF">2022-05-23T14:32:48Z</dcterms:modified>
  <cp:revision>183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